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СРАВНИТЕЛЬНАЯ ТАБЛИЦА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 проекту Закона Кыргызской Республики  «О внесении изменений в некоторые законодательные акты Кыргызской Республики»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4"/>
          <w:lang w:val="ky-KG"/>
        </w:rPr>
      </w:pPr>
      <w:r>
        <w:rPr>
          <w:rFonts w:cs="Times New Roman" w:ascii="Times New Roman" w:hAnsi="Times New Roman"/>
          <w:sz w:val="28"/>
          <w:szCs w:val="24"/>
          <w:lang w:val="ky-KG"/>
        </w:rPr>
      </w:r>
    </w:p>
    <w:tbl>
      <w:tblPr>
        <w:jc w:val="lef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6"/>
        <w:gridCol w:w="7796"/>
      </w:tblGrid>
      <w:tr>
        <w:trPr>
          <w:trHeight w:val="441" w:hRule="atLeast"/>
          <w:cantSplit w:val="false"/>
        </w:trPr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4"/>
                <w:lang w:eastAsia="en-US"/>
              </w:rPr>
              <w:t>Действующая редакция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4"/>
                <w:lang w:eastAsia="en-US"/>
              </w:rPr>
              <w:t>Предлагаемая редакция</w:t>
            </w:r>
          </w:p>
        </w:tc>
      </w:tr>
      <w:tr>
        <w:trPr>
          <w:trHeight w:val="441" w:hRule="atLeast"/>
          <w:cantSplit w:val="false"/>
        </w:trPr>
        <w:tc>
          <w:tcPr>
            <w:tcW w:w="15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4"/>
                <w:lang w:eastAsia="en-US"/>
              </w:rPr>
              <w:t>Закон Кыргызской Республики «О естественных монополиях в Кыргызской Республике»</w:t>
            </w:r>
          </w:p>
        </w:tc>
      </w:tr>
      <w:tr>
        <w:trPr>
          <w:trHeight w:val="441" w:hRule="atLeast"/>
          <w:cantSplit w:val="false"/>
        </w:trPr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Статья 4-1. Виды и методы государственного регулирования субъектов естественных монополий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1. Для осуществления государственного регулирования и контроля формируется и ведется государственный реестр субъектов естественных монополий в порядке, определенном Правительством Кыргызской Республики.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2. В сфере действия настоящего Закона применяются следующие виды регулирования деятельности субъектов естественных монополий: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1) ценовое (тарифное) регулирование: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- установление цен (тарифов);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- установление предельного уровня цен (тарифов);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trike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trike/>
                <w:sz w:val="28"/>
                <w:lang w:eastAsia="en-US"/>
              </w:rPr>
              <w:t>2) установление предельного уровня рентабельности;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3) определение потребителей (абонентов), подлежащих обязательному обслуживанию, и (или) установление минимального уровня их обеспечения в случае невозможности удовлетворения в полном объеме потребностей в товаре (услуге), производимом (реализуемом) субъектом естественной монополии, с учетом необходимости защиты прав и законных интересов граждан, обеспечения безопасности государства, охраны природы и культурных ценностей;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4) установление величины торговой надбавки;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5) установление обязательств для инженерно-технических служб, являющихся субъектами естественных монополий, осуществление развития соответствующих сетей инженерно-технического обеспечения в случае невозможности удовлетворения в полном объеме потребностей в товаре (услуге), производимом (реализуемом) данным субъектом.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3. При осуществлении ценового (тарифного) регулирования применяются следующие методы регулирования: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1) метод экономически обоснованных затрат;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2) метод доходности инвестиционного капитала.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4. Для видов и методов регулирования, предусмотренных настоящим Законом, также применяются долгосрочные параметры регулирования, полученные с использованием метода сравнительного анализа эффективности деятельности субъектов естественных монополий.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Статья 4-1. Виды и методы государственного регулирования субъектов естественных монополий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1. Для осуществления государственного регулирования и контроля формируется и ведется государственный реестр субъектов естественных монополий в порядке, определенном Правительством Кыргызской Республики.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2. В сфере действия настоящего Закона применяются следующие виды регулирования деятельности субъектов естественных монополий: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1) ценовое (тарифное) регулирование: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- установление цен (тарифов);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- установление предельного уровня цен (тарифов);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b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 xml:space="preserve">2) </w:t>
            </w:r>
            <w:r>
              <w:rPr>
                <w:rFonts w:cs="Times New Roman" w:ascii="Times New Roman" w:hAnsi="Times New Roman"/>
                <w:b/>
                <w:sz w:val="28"/>
                <w:lang w:eastAsia="en-US"/>
              </w:rPr>
              <w:t>признать утратившим силу;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3) определение потребителей (абонентов), подлежащих обязательному обслуживанию, и (или) установление минимального уровня их обеспечения в случае невозможности удовлетворения в полном объеме потребностей в товаре (услуге), производимом (реализуемом) субъектом естественной монополии, с учетом необходимости защиты прав и законных интересов граждан, обеспечения безопасности государства, охраны природы и культурных ценностей;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4) установление величины торговой надбавки;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5) установление обязательств для инженерно-технических служб, являющихся субъектами естественных монополий, осуществление развития соответствующих сетей инженерно-технического обеспечения в случае невозможности удовлетворения в полном объеме потребностей в товаре (услуге), производимом (реализуемом) данным субъектом.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3. При осуществлении ценового (тарифного) регулирования применяются следующие методы регулирования: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1) метод экономически обоснованных затрат;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2) метод доходности инвестиционного капитала.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4. Для видов и методов регулирования, предусмотренных настоящим Законом, также применяются долгосрочные параметры регулирования, полученные с использованием метода сравнительного анализа эффективности деятельности субъектов естественных монополий.</w:t>
            </w:r>
          </w:p>
          <w:p>
            <w:pPr>
              <w:pStyle w:val="Normal"/>
              <w:spacing w:before="0" w:after="0"/>
              <w:ind w:left="0" w:right="0" w:firstLine="567"/>
              <w:jc w:val="both"/>
              <w:rPr>
                <w:rFonts w:cs="Times New Roman"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eastAsia="en-US"/>
              </w:rPr>
            </w:r>
          </w:p>
        </w:tc>
      </w:tr>
      <w:tr>
        <w:trPr>
          <w:trHeight w:val="441" w:hRule="atLeast"/>
          <w:cantSplit w:val="false"/>
        </w:trPr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12-берене. Ушул Мыйзамды бузуунун кесепеттери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1. Ушул Мыйзамды бузган учурда, ыйгарым укуктуу органдын чечимдерине (жазуу жүзүндөгү талаптарына) ылайык табигый монополиялардын субъекттери (алардын жетекчилери), мамлекеттик органдар жана жергиликтүү өз алдынча башкаруу органдары (алардын кызмат адамдары) төмөндөгүлөргө милдеттүү: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ушул Мыйзамды бузууну токтотууга жана алардын кесепеттерин жоюуга;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алгачкы абалына келтирүүгө же чечимде (жазуу жүзүндөгү талапта) көрсөтүлгөн башка аракеттерди жасоого;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ушул Мыйзамга ылайык келбеген актыны жокко чыгарууга жана (же) өзгөртүүгө;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милдеттүү тейлөөгө жаткан керектөөчү (абонент) менен келишим түзүүгө;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керектөөчү (абонент) менен келишимге өзгөртүүлөрдү киргизүүгө;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Кыргыз Республикасынын мыйзамдарында аныкталган айып пулун төлөөгө же башка жоопкерчиликти тартууга;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келтирилген чыгымдын жана (же) зыяндардын ордун толтурууга.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 xml:space="preserve">2. Табигый монополиялардын субъектиси ушул Мыйзамды бузуунун натыйжасында алган </w:t>
            </w:r>
            <w:r>
              <w:rPr>
                <w:rFonts w:cs="Times New Roman" w:ascii="Times New Roman" w:hAnsi="Times New Roman"/>
                <w:strike/>
                <w:sz w:val="28"/>
                <w:szCs w:val="24"/>
                <w:lang w:eastAsia="en-US"/>
              </w:rPr>
              <w:t>пайданы</w:t>
            </w: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 xml:space="preserve"> ыйгарым укуктуу органдын чечими менен белгиленген мөөнөттө республикалык бюджетке которууга милдеттүү.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12-берене. Ушул Мыйзамды бузуунун кесепеттери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1. Ушул Мыйзамды бузган учурда, ыйгарым укуктуу органдын чечимдерине (жазуу жүзүндөгү талаптарына) ылайык табигый монополиялардын субъекттери (алардын жетекчилери), мамлекеттик органдар жана жергиликтүү өз алдынча башкаруу органдары (алардын кызмат адамдары) төмөндөгүлөргө милдеттүү: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ушул Мыйзамды бузууну токтотууга жана алардын кесепеттерин жоюуга;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алгачкы абалына келтирүүгө же чечимде (жазуу жүзүндөгү талапта) көрсөтүлгөн башка аракеттерди жасоого;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ушул Мыйзамга ылайык келбеген актыны жокко чыгарууга жана (же) өзгөртүүгө;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милдеттүү тейлөөгө жаткан керектөөчү (абонент) менен келишим түзүүгө;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керектөөчү (абонент) менен келишимге өзгөртүүлөрдү киргизүүгө;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Кыргыз Республикасынын мыйзамдарында аныкталган айып пулун төлөөгө же башка жоопкерчиликти тартууга;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келтирилген чыгымдын жана (же) зыяндардын ордун толтурууга.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 xml:space="preserve">2. Табигый монополиялардын субъектиси ушул Мыйзамды бузуунун натыйжасында алган </w:t>
            </w:r>
            <w:r>
              <w:rPr>
                <w:rFonts w:cs="Times New Roman" w:ascii="Times New Roman" w:hAnsi="Times New Roman"/>
                <w:b/>
                <w:sz w:val="28"/>
                <w:szCs w:val="24"/>
                <w:lang w:eastAsia="en-US"/>
              </w:rPr>
              <w:t xml:space="preserve">кирешени </w:t>
            </w: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  <w:t>ыйгарым укуктуу органдын чечими менен белгиленген мөөнөттө республикалык бюджетке которууга милдеттүү.</w:t>
            </w:r>
          </w:p>
        </w:tc>
      </w:tr>
      <w:tr>
        <w:trPr>
          <w:trHeight w:val="441" w:hRule="atLeast"/>
          <w:cantSplit w:val="false"/>
        </w:trPr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Статья 20. Финансирование и материально-техническое обеспечение деятельности антимонопольного органа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Финансирование деятельности антимонопольного органа производится за счет средств республиканского бюджета Кыргызской Республики и других источников в порядке, установленном законодательством Кыргызской Республики.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В целях укрепления материально-технической базы, создания необходимых условий для работы и обеспечения социальной защиты сотрудников антимонопольного органа создается Фонд развития и материального обеспечения антимонопольного органа за счет отчислений в размере 25 процентов от сумм нарушений антимонопольного законодательства и иных поступлений, не запрещенных законодательством Кыргызской Республики.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Порядок использования данного фонда определяется антимонопольным органом.</w:t>
            </w:r>
          </w:p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4"/>
                <w:lang w:eastAsia="en-US"/>
              </w:rPr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Статья 20. Финансирование и материально-техническое обеспечение деятельности антимонопольного органа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Финансирование деятельности антимонопольного органа производится за счет средств республиканского бюджета Кыргызской Республики и других источников в порядке, установленном законодательством Кыргызской Республики.</w:t>
            </w:r>
          </w:p>
          <w:p>
            <w:pPr>
              <w:pStyle w:val="Normal"/>
              <w:spacing w:before="0" w:after="0"/>
              <w:ind w:left="0" w:right="0" w:firstLine="708"/>
              <w:jc w:val="both"/>
              <w:rPr>
                <w:rFonts w:eastAsia="Times New Roman" w:cs="Times New Roman"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en-US"/>
              </w:rPr>
              <w:t xml:space="preserve">В целях укрепления материально-технической базы, создания необходимых условий для работы и обеспечения социальной защиты сотрудников антимонопольного органа создается Фонд развития и материального обеспечения антимонопольного органа за счет отчислений в размере 25 процентов от сумм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eastAsia="en-US"/>
              </w:rPr>
              <w:t>отклонения от регулятивных требований, установленных антимонопольным законодательством, в виде незаконно (необоснованно и дополнительно) полученных доходов, а также иных поступлений,</w:t>
            </w: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en-US"/>
              </w:rPr>
              <w:t xml:space="preserve"> не запрещенных законодательством Кыргызской Республики.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Порядок использования данного фонда определяется антимонопольным органом.</w:t>
            </w:r>
          </w:p>
        </w:tc>
      </w:tr>
      <w:tr>
        <w:trPr>
          <w:trHeight w:val="441" w:hRule="atLeast"/>
          <w:cantSplit w:val="false"/>
        </w:trPr>
        <w:tc>
          <w:tcPr>
            <w:tcW w:w="15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jc w:val="center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Закон Кыргызской Республики «О конкуренции»</w:t>
            </w:r>
          </w:p>
        </w:tc>
      </w:tr>
      <w:tr>
        <w:trPr>
          <w:trHeight w:val="441" w:hRule="atLeast"/>
          <w:cantSplit w:val="false"/>
        </w:trPr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Статья 4. Доминирующее положение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1. Доминирующим признается положение хозяйствующего субъекта (за исключением финансовой организации) на рынке, если выполняется одно из следующих условий: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1) доля хозяйствующего субъекта на определенном рынке составляет 35 процентов или выше;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trike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trike/>
                <w:sz w:val="28"/>
                <w:lang w:eastAsia="en-US"/>
              </w:rPr>
              <w:t>2) доля хозяйствующего субъекта превышает предельную величину доминирования, установленную государственным антимонопольным органом, в случаях выявления злоупотребления положением хозяйствующих субъектов на рынке;</w:t>
            </w:r>
          </w:p>
          <w:p>
            <w:pPr>
              <w:pStyle w:val="TkRedakcija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3) (утратил силу в соответствии с Законом КР от 21 января 2015 года N 22);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4) совокупное доминирование более чем трех хозяйствующих субъектов, доля каждого из которых больше доли других субъектов на этом рынке и в совокупности превышает 50 процентов, или совокупная доля не более чем пяти хозяйствующих субъектов, доля каждого из которых больше долей других хозяйствующих субъектов на соответствующем рынке;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5) в течение длительного периода (в течение не менее чем одного года или, если такой срок составляет менее чем один год, в течение срока существования соответствующего рынка) относительные размеры долей хозяйствующих субъектов неизменны или подвержены малозначительным изменениям, а также доступ на соответствующий рынок новых конкурентов затруднен;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6) реализуемый или приобретаемый хозяйствующими субъектами товар не может быть заменен другим товаром при потреблении (в том числе при потреблении в производственных целях), информация о цене, об условиях реализации или приобретения этого товара на соответствующем рынке доступна определенному кругу лиц.</w:t>
            </w:r>
          </w:p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Статья 4. Доминирующее положение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1. Доминирующим признается положение хозяйствующего субъекта (за исключением финансовой организации) на рынке, если выполняется одно из следующих условий: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1) доля хозяйствующего субъекта на определенном рынке составляет 35 процентов или выше;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b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 xml:space="preserve">2)  </w:t>
            </w:r>
            <w:r>
              <w:rPr>
                <w:rFonts w:cs="Times New Roman" w:ascii="Times New Roman" w:hAnsi="Times New Roman"/>
                <w:b/>
                <w:sz w:val="28"/>
                <w:lang w:eastAsia="en-US"/>
              </w:rPr>
              <w:t>признать утратившим силу;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</w:r>
          </w:p>
          <w:p>
            <w:pPr>
              <w:pStyle w:val="TkTekst"/>
              <w:spacing w:before="0" w:after="0"/>
              <w:ind w:left="0" w:right="0" w:hanging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</w:r>
          </w:p>
          <w:p>
            <w:pPr>
              <w:pStyle w:val="TkRedakcija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3) (утратил силу в соответствии с Законом КР от 21 января 2015 года N 22);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4) совокупное доминирование более чем трех хозяйствующих субъектов, доля каждого из которых больше доли других субъектов на этом рынке и в совокупности превышает 50 процентов, или совокупная доля не более чем пяти хозяйствующих субъектов, доля каждого из которых больше долей других хозяйствующих субъектов на соответствующем рынке;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5) в течение длительного периода (в течение не менее чем одного года или, если такой срок составляет менее чем один год, в течение срока существования соответствующего рынка) относительные размеры долей хозяйствующих субъектов неизменны или подвержены малозначительным изменениям, а также доступ на соответствующий рынок новых конкурентов затруднен;</w:t>
            </w:r>
          </w:p>
          <w:p>
            <w:pPr>
              <w:pStyle w:val="TkTekst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  <w:t>6) реализуемый или приобретаемый хозяйствующими субъектами товар не может быть заменен другим товаром при потреблении (в том числе при потреблении в производственных целях), информация о цене, об условиях реализации или приобретения этого товара на соответствующем рынке доступна определенному кругу лиц.</w:t>
            </w:r>
          </w:p>
          <w:p>
            <w:pPr>
              <w:pStyle w:val="TkZagolovok5"/>
              <w:spacing w:before="0" w:after="0"/>
              <w:rPr>
                <w:rFonts w:cs="Times New Roman" w:ascii="Times New Roman" w:hAnsi="Times New Roman"/>
                <w:sz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4"/>
          <w:lang w:val="ky-KG"/>
        </w:rPr>
      </w:pPr>
      <w:r>
        <w:rPr>
          <w:rFonts w:cs="Times New Roman" w:ascii="Times New Roman" w:hAnsi="Times New Roman"/>
          <w:sz w:val="28"/>
          <w:szCs w:val="24"/>
          <w:lang w:val="ky-KG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4"/>
          <w:lang w:val="ky-KG"/>
        </w:rPr>
      </w:pPr>
      <w:r>
        <w:rPr>
          <w:rFonts w:cs="Times New Roman" w:ascii="Times New Roman" w:hAnsi="Times New Roman"/>
          <w:sz w:val="28"/>
          <w:szCs w:val="24"/>
          <w:lang w:val="ky-KG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4"/>
          <w:lang w:val="ky-KG"/>
        </w:rPr>
      </w:pPr>
      <w:r>
        <w:rPr>
          <w:rFonts w:cs="Times New Roman" w:ascii="Times New Roman" w:hAnsi="Times New Roman"/>
          <w:sz w:val="28"/>
          <w:szCs w:val="24"/>
          <w:lang w:val="ky-KG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4"/>
          <w:lang w:val="ky-KG"/>
        </w:rPr>
      </w:pPr>
      <w:r>
        <w:rPr>
          <w:rFonts w:cs="Times New Roman" w:ascii="Times New Roman" w:hAnsi="Times New Roman"/>
          <w:sz w:val="28"/>
          <w:szCs w:val="24"/>
          <w:lang w:val="ky-KG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4"/>
          <w:lang w:val="ky-KG"/>
        </w:rPr>
      </w:pPr>
      <w:r>
        <w:rPr>
          <w:rFonts w:cs="Times New Roman" w:ascii="Times New Roman" w:hAnsi="Times New Roman"/>
          <w:sz w:val="28"/>
          <w:szCs w:val="24"/>
          <w:lang w:val="ky-KG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4"/>
          <w:lang w:val="ky-KG"/>
        </w:rPr>
      </w:pPr>
      <w:r>
        <w:rPr>
          <w:rFonts w:cs="Times New Roman" w:ascii="Times New Roman" w:hAnsi="Times New Roman"/>
          <w:b/>
          <w:sz w:val="28"/>
          <w:szCs w:val="24"/>
          <w:lang w:val="ky-KG"/>
        </w:rPr>
        <w:t>Министр</w:t>
        <w:tab/>
        <w:tab/>
        <w:tab/>
        <w:tab/>
        <w:tab/>
        <w:tab/>
        <w:t>О. Панкратов</w:t>
      </w:r>
    </w:p>
    <w:sectPr>
      <w:type w:val="nextPage"/>
      <w:pgSz w:orient="landscape" w:w="16838" w:h="11906"/>
      <w:pgMar w:left="1134" w:right="1134" w:header="0" w:top="1276" w:footer="0" w:bottom="127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37c7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uiPriority w:val="99"/>
    <w:semiHidden/>
    <w:unhideWhenUsed/>
    <w:rsid w:val="002866d9"/>
    <w:basedOn w:val="DefaultParagraphFont"/>
    <w:rPr>
      <w:color w:val="0000FF"/>
      <w:u w:val="single"/>
      <w:lang w:val="zxx" w:eastAsia="zxx" w:bidi="zxx"/>
    </w:rPr>
  </w:style>
  <w:style w:type="character" w:styleId="Strong">
    <w:name w:val="Strong"/>
    <w:uiPriority w:val="22"/>
    <w:qFormat/>
    <w:rsid w:val="00711123"/>
    <w:basedOn w:val="DefaultParagraphFont"/>
    <w:rPr>
      <w:b/>
      <w:bCs/>
    </w:rPr>
  </w:style>
  <w:style w:type="character" w:styleId="ListLabel1">
    <w:name w:val="ListLabel 1"/>
    <w:rPr>
      <w:b w:val="false"/>
    </w:rPr>
  </w:style>
  <w:style w:type="character" w:styleId="ListLabel2">
    <w:name w:val="ListLabel 2"/>
    <w:rPr>
      <w:rFonts w:cs="Times New Roman"/>
      <w:color w:val="00000A"/>
      <w:sz w:val="24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NormalWeb">
    <w:name w:val="Normal (Web)"/>
    <w:uiPriority w:val="99"/>
    <w:unhideWhenUsed/>
    <w:rsid w:val="00940694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kTekst" w:customStyle="1">
    <w:name w:val="_Текст обычный (tkTekst)"/>
    <w:rsid w:val="00940694"/>
    <w:basedOn w:val="Normal"/>
    <w:pPr>
      <w:spacing w:before="0" w:after="60"/>
      <w:ind w:left="0" w:right="0" w:firstLine="567"/>
      <w:jc w:val="both"/>
    </w:pPr>
    <w:rPr>
      <w:rFonts w:ascii="Arial" w:hAnsi="Arial" w:eastAsia="Times New Roman" w:cs="Arial"/>
      <w:sz w:val="20"/>
      <w:szCs w:val="20"/>
    </w:rPr>
  </w:style>
  <w:style w:type="paragraph" w:styleId="TkRedakcijaTekst" w:customStyle="1">
    <w:name w:val="_В редакции текст (tkRedakcijaTekst)"/>
    <w:rsid w:val="002866d9"/>
    <w:basedOn w:val="Normal"/>
    <w:pPr>
      <w:spacing w:before="0" w:after="60"/>
      <w:ind w:left="0" w:right="0" w:firstLine="567"/>
      <w:jc w:val="both"/>
    </w:pPr>
    <w:rPr>
      <w:rFonts w:ascii="Arial" w:hAnsi="Arial" w:eastAsia="Times New Roman" w:cs="Arial"/>
      <w:i/>
      <w:iCs/>
      <w:sz w:val="20"/>
      <w:szCs w:val="20"/>
    </w:rPr>
  </w:style>
  <w:style w:type="paragraph" w:styleId="TkZagolovok5" w:customStyle="1">
    <w:name w:val="_Заголовок Статья (tkZagolovok5)"/>
    <w:rsid w:val="002866d9"/>
    <w:basedOn w:val="Normal"/>
    <w:pPr>
      <w:spacing w:before="200" w:after="60"/>
      <w:ind w:left="0" w:right="0" w:firstLine="567"/>
    </w:pPr>
    <w:rPr>
      <w:rFonts w:ascii="Arial" w:hAnsi="Arial" w:eastAsia="Times New Roman" w:cs="Arial"/>
      <w:b/>
      <w:bCs/>
      <w:sz w:val="20"/>
      <w:szCs w:val="20"/>
    </w:rPr>
  </w:style>
  <w:style w:type="paragraph" w:styleId="ListParagraph">
    <w:name w:val="List Paragraph"/>
    <w:uiPriority w:val="34"/>
    <w:qFormat/>
    <w:rsid w:val="00ed31f4"/>
    <w:basedOn w:val="Normal"/>
    <w:pPr>
      <w:spacing w:before="0" w:after="200"/>
      <w:ind w:left="720" w:right="0" w:hanging="0"/>
      <w:contextualSpacing/>
    </w:pPr>
    <w:rPr/>
  </w:style>
  <w:style w:type="paragraph" w:styleId="TkKomentarij" w:customStyle="1">
    <w:name w:val="_Комментарий (tkKomentarij)"/>
    <w:rsid w:val="00115e88"/>
    <w:basedOn w:val="Normal"/>
    <w:pPr>
      <w:spacing w:before="0" w:after="60"/>
      <w:ind w:left="0" w:right="0" w:firstLine="567"/>
      <w:jc w:val="both"/>
    </w:pPr>
    <w:rPr>
      <w:rFonts w:ascii="Arial" w:hAnsi="Arial" w:eastAsia="Times New Roman" w:cs="Arial"/>
      <w:i/>
      <w:iCs/>
      <w:sz w:val="20"/>
      <w:szCs w:val="20"/>
    </w:rPr>
  </w:style>
  <w:style w:type="paragraph" w:styleId="TkRekvizit" w:customStyle="1">
    <w:name w:val="_Реквизит (tkRekvizit)"/>
    <w:rsid w:val="000f4294"/>
    <w:basedOn w:val="Normal"/>
    <w:pPr>
      <w:spacing w:before="200" w:after="200"/>
      <w:jc w:val="center"/>
    </w:pPr>
    <w:rPr>
      <w:rFonts w:ascii="Arial" w:hAnsi="Arial" w:eastAsia="Times New Roman" w:cs="Arial"/>
      <w:i/>
      <w:iCs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0694"/>
    <w:pPr>
      <w:spacing w:lineRule="auto" w:line="240" w:after="0"/>
    </w:pPr>
    <w:rPr>
      <w:rFonts w:eastAsiaTheme="minorHAnsi"/>
      <w:lang w:eastAsia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2015-06-29T05:44:00Z</dcterms:created>
  <dc:creator>Жекшенкуль Кожошева</dc:creator>
  <dc:language>ru-RU</dc:language>
  <cp:lastModifiedBy>Жекшенкуль Кожошева</cp:lastModifiedBy>
  <cp:lastPrinted>2015-09-01T11:41:00Z</cp:lastPrinted>
  <dcterms:modified xsi:type="dcterms:W3CDTF">2015-09-01T11:41:00Z</dcterms:modified>
  <cp:revision>12</cp:revision>
</cp:coreProperties>
</file>